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82" w:rsidRPr="00671C71" w:rsidRDefault="003C606B" w:rsidP="00E619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>
        <w:rPr>
          <w:rFonts w:eastAsia="Times New Roman" w:cs="Calibri"/>
          <w:b/>
          <w:sz w:val="24"/>
          <w:szCs w:val="24"/>
          <w:lang w:eastAsia="es-ES"/>
        </w:rPr>
        <w:t>BASES TÉCNICAS</w:t>
      </w:r>
    </w:p>
    <w:p w:rsidR="00BF59FB" w:rsidRPr="00671C71" w:rsidRDefault="00671C71" w:rsidP="00E619E0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bookmarkStart w:id="0" w:name="_GoBack"/>
      <w:r w:rsidRPr="00671C71">
        <w:rPr>
          <w:rFonts w:eastAsia="Times New Roman" w:cs="Calibri"/>
          <w:b/>
          <w:sz w:val="24"/>
          <w:szCs w:val="24"/>
          <w:lang w:eastAsia="es-ES"/>
        </w:rPr>
        <w:t>CONCURSO PÚBLICO</w:t>
      </w:r>
    </w:p>
    <w:bookmarkEnd w:id="0"/>
    <w:p w:rsidR="00B33A82" w:rsidRPr="00B33A82" w:rsidRDefault="00C97317" w:rsidP="00E619E0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  <w:r w:rsidRPr="00C97317">
        <w:rPr>
          <w:rFonts w:eastAsia="Times New Roman" w:cs="Calibri"/>
          <w:b/>
          <w:sz w:val="24"/>
          <w:szCs w:val="24"/>
          <w:lang w:eastAsia="es-ES"/>
        </w:rPr>
        <w:t>“</w:t>
      </w:r>
      <w:r w:rsidR="00DF5B74">
        <w:rPr>
          <w:rFonts w:eastAsia="Times New Roman" w:cs="Calibri"/>
          <w:b/>
          <w:sz w:val="24"/>
          <w:szCs w:val="24"/>
          <w:lang w:eastAsia="es-ES"/>
        </w:rPr>
        <w:t>Medició</w:t>
      </w:r>
      <w:r w:rsidR="00671C71">
        <w:rPr>
          <w:rFonts w:eastAsia="Times New Roman" w:cs="Calibri"/>
          <w:b/>
          <w:sz w:val="24"/>
          <w:szCs w:val="24"/>
          <w:lang w:eastAsia="es-ES"/>
        </w:rPr>
        <w:t>n de aprendizajes curriculares</w:t>
      </w:r>
      <w:r w:rsidR="003C606B">
        <w:rPr>
          <w:rFonts w:eastAsia="Times New Roman" w:cs="Calibri"/>
          <w:b/>
          <w:sz w:val="24"/>
          <w:szCs w:val="24"/>
          <w:lang w:eastAsia="es-ES"/>
        </w:rPr>
        <w:t xml:space="preserve"> 2020</w:t>
      </w:r>
      <w:r w:rsidRPr="00C97317">
        <w:rPr>
          <w:rFonts w:eastAsia="Times New Roman" w:cs="Calibri"/>
          <w:b/>
          <w:sz w:val="24"/>
          <w:szCs w:val="24"/>
          <w:lang w:eastAsia="es-ES"/>
        </w:rPr>
        <w:t>”</w:t>
      </w:r>
    </w:p>
    <w:p w:rsidR="00E619E0" w:rsidRDefault="00E619E0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CD7C68" w:rsidRDefault="00CD7C68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CD7C68" w:rsidRDefault="00CD7C68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CD7C68" w:rsidRDefault="00CD7C68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CD7C68" w:rsidRDefault="00CD7C68" w:rsidP="00E619E0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sz w:val="24"/>
          <w:szCs w:val="24"/>
          <w:lang w:eastAsia="es-ES"/>
        </w:rPr>
      </w:pPr>
    </w:p>
    <w:p w:rsidR="00B33A82" w:rsidRPr="00E619E0" w:rsidRDefault="00B33A82" w:rsidP="00E619E0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es-ES"/>
        </w:rPr>
      </w:pPr>
      <w:r w:rsidRPr="00E619E0">
        <w:rPr>
          <w:rFonts w:eastAsia="Times New Roman" w:cs="Calibri"/>
          <w:b/>
          <w:sz w:val="24"/>
          <w:szCs w:val="24"/>
          <w:u w:val="single"/>
          <w:lang w:eastAsia="es-ES"/>
        </w:rPr>
        <w:t>DISPOSICIONES GENERALES</w:t>
      </w:r>
    </w:p>
    <w:p w:rsidR="00E619E0" w:rsidRDefault="00E619E0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0D0FDB" w:rsidRDefault="003C606B" w:rsidP="00E619E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 xml:space="preserve">Las </w:t>
      </w:r>
      <w:r w:rsidRPr="00BF59FB">
        <w:rPr>
          <w:rFonts w:eastAsia="Times New Roman" w:cs="Calibri"/>
          <w:sz w:val="24"/>
          <w:szCs w:val="24"/>
          <w:lang w:eastAsia="es-ES"/>
        </w:rPr>
        <w:t>presentes</w:t>
      </w:r>
      <w:r>
        <w:rPr>
          <w:rFonts w:eastAsia="Times New Roman" w:cs="Calibri"/>
          <w:sz w:val="24"/>
          <w:szCs w:val="24"/>
          <w:lang w:eastAsia="es-ES"/>
        </w:rPr>
        <w:t xml:space="preserve"> bases técnicas son los términos de referencia que</w:t>
      </w:r>
      <w:r w:rsidR="00E55F58">
        <w:rPr>
          <w:rFonts w:eastAsia="Times New Roman" w:cs="Calibri"/>
          <w:sz w:val="24"/>
          <w:szCs w:val="24"/>
          <w:lang w:eastAsia="es-ES"/>
        </w:rPr>
        <w:t xml:space="preserve"> </w:t>
      </w:r>
      <w:r w:rsidR="00B33A82" w:rsidRPr="00BF59FB">
        <w:rPr>
          <w:rFonts w:eastAsia="Times New Roman" w:cs="Calibri"/>
          <w:sz w:val="24"/>
          <w:szCs w:val="24"/>
          <w:lang w:eastAsia="es-ES"/>
        </w:rPr>
        <w:t xml:space="preserve">reglamentan </w:t>
      </w:r>
      <w:r w:rsidR="00E55F58">
        <w:rPr>
          <w:rFonts w:eastAsia="Times New Roman" w:cs="Calibri"/>
          <w:sz w:val="24"/>
          <w:szCs w:val="24"/>
          <w:lang w:eastAsia="es-ES"/>
        </w:rPr>
        <w:t>el concurso público</w:t>
      </w:r>
      <w:r w:rsidR="00B33A82" w:rsidRPr="00BF59FB">
        <w:rPr>
          <w:rFonts w:eastAsia="Times New Roman" w:cs="Calibri"/>
          <w:sz w:val="24"/>
          <w:szCs w:val="24"/>
          <w:lang w:eastAsia="es-ES"/>
        </w:rPr>
        <w:t xml:space="preserve"> denominad</w:t>
      </w:r>
      <w:r w:rsidR="00E55F58">
        <w:rPr>
          <w:rFonts w:eastAsia="Times New Roman" w:cs="Calibri"/>
          <w:sz w:val="24"/>
          <w:szCs w:val="24"/>
          <w:lang w:eastAsia="es-ES"/>
        </w:rPr>
        <w:t>o</w:t>
      </w:r>
      <w:r w:rsidR="00B33A82" w:rsidRPr="00BF59FB">
        <w:rPr>
          <w:rFonts w:eastAsia="Times New Roman" w:cs="Calibri"/>
          <w:sz w:val="24"/>
          <w:szCs w:val="24"/>
          <w:lang w:eastAsia="es-ES"/>
        </w:rPr>
        <w:t xml:space="preserve"> </w:t>
      </w:r>
      <w:r w:rsidR="00DF5B74" w:rsidRPr="00DF5B74">
        <w:rPr>
          <w:rFonts w:eastAsia="Times New Roman" w:cs="Calibri"/>
          <w:b/>
          <w:sz w:val="24"/>
          <w:szCs w:val="24"/>
          <w:lang w:eastAsia="es-ES"/>
        </w:rPr>
        <w:t>“Medición de aprendizajes curriculares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 2020</w:t>
      </w:r>
      <w:r w:rsidR="00DF5B74" w:rsidRPr="00DF5B74">
        <w:rPr>
          <w:rFonts w:eastAsia="Times New Roman" w:cs="Calibri"/>
          <w:b/>
          <w:sz w:val="24"/>
          <w:szCs w:val="24"/>
          <w:lang w:eastAsia="es-ES"/>
        </w:rPr>
        <w:t>”</w:t>
      </w:r>
    </w:p>
    <w:p w:rsidR="00A255B9" w:rsidRPr="00E619E0" w:rsidRDefault="00A255B9" w:rsidP="00E619E0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p w:rsidR="00B33A82" w:rsidRPr="00E619E0" w:rsidRDefault="003C606B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Corporación</w:t>
      </w:r>
      <w:r w:rsidR="00ED2A1C" w:rsidRPr="00ED2A1C">
        <w:rPr>
          <w:rFonts w:eastAsia="Times New Roman" w:cs="Calibri"/>
          <w:sz w:val="24"/>
          <w:szCs w:val="24"/>
          <w:lang w:eastAsia="es-ES"/>
        </w:rPr>
        <w:t xml:space="preserve"> Educacional Educme 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invita a todos los proveedores registrados en el rubro a participar en el proceso para la </w:t>
      </w:r>
      <w:r w:rsidR="00B33A82" w:rsidRPr="00ED2A1C">
        <w:rPr>
          <w:rFonts w:eastAsia="Times New Roman" w:cs="Calibri"/>
          <w:sz w:val="24"/>
          <w:szCs w:val="24"/>
          <w:lang w:eastAsia="es-ES"/>
        </w:rPr>
        <w:t xml:space="preserve">adquisición </w:t>
      </w:r>
      <w:r w:rsidR="00DF5B74" w:rsidRPr="00ED2A1C">
        <w:rPr>
          <w:rFonts w:eastAsia="Times New Roman" w:cs="Calibri"/>
          <w:b/>
          <w:sz w:val="24"/>
          <w:szCs w:val="24"/>
          <w:lang w:eastAsia="es-ES"/>
        </w:rPr>
        <w:t>“Medición de aprendizajes curriculares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 2020</w:t>
      </w:r>
      <w:r w:rsidR="00DF5B74" w:rsidRPr="00ED2A1C">
        <w:rPr>
          <w:rFonts w:eastAsia="Times New Roman" w:cs="Calibri"/>
          <w:b/>
          <w:sz w:val="24"/>
          <w:szCs w:val="24"/>
          <w:lang w:eastAsia="es-ES"/>
        </w:rPr>
        <w:t xml:space="preserve">” </w:t>
      </w:r>
      <w:r w:rsidR="00E619E0" w:rsidRPr="00ED2A1C">
        <w:rPr>
          <w:rFonts w:eastAsia="Times New Roman" w:cs="Calibri"/>
          <w:sz w:val="24"/>
          <w:szCs w:val="24"/>
          <w:lang w:eastAsia="es-ES"/>
        </w:rPr>
        <w:t>requerida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 bajo la modalidad de </w:t>
      </w:r>
      <w:r w:rsidR="00AA0909">
        <w:rPr>
          <w:rFonts w:eastAsia="Times New Roman" w:cs="Calibri"/>
          <w:sz w:val="24"/>
          <w:szCs w:val="24"/>
          <w:lang w:eastAsia="es-ES"/>
        </w:rPr>
        <w:t>Concurso Público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 xml:space="preserve"> de acuerdo a lo indicado en </w:t>
      </w:r>
      <w:r w:rsidR="00AA0909">
        <w:rPr>
          <w:rFonts w:eastAsia="Times New Roman" w:cs="Calibri"/>
          <w:sz w:val="24"/>
          <w:szCs w:val="24"/>
          <w:lang w:eastAsia="es-ES"/>
        </w:rPr>
        <w:t>estas bases</w:t>
      </w:r>
      <w:r w:rsidR="00B33A82" w:rsidRPr="00E619E0">
        <w:rPr>
          <w:rFonts w:eastAsia="Times New Roman" w:cs="Calibri"/>
          <w:sz w:val="24"/>
          <w:szCs w:val="24"/>
          <w:lang w:eastAsia="es-ES"/>
        </w:rPr>
        <w:t>.</w:t>
      </w:r>
    </w:p>
    <w:p w:rsidR="00B33A82" w:rsidRDefault="00B33A82" w:rsidP="00E619E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:rsidR="00BF59FB" w:rsidRDefault="00BF59FB" w:rsidP="00BF59FB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OBJETIVO GENERAL</w:t>
      </w:r>
    </w:p>
    <w:p w:rsidR="00BF59FB" w:rsidRDefault="00BF59FB" w:rsidP="00BF59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DF5B74" w:rsidRDefault="00DF5B74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>Medir aprendizajes curriculares establecidos por el Ministerio de Educación en los planes y programas vigentes y que se encuentran relacionados con los aprendizajes del PME, en  alumnos desde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NT1 hasta 8° básico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en las asignaturas de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Lenguaje y Comunicación, Matemática, Historia y Geografía (Formación Ciudadana 7° y 8° básico) y Ciencias Naturales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estipuladas para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tres</w:t>
      </w:r>
      <w:r w:rsidR="00784B84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instancias de aplicación;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prueba </w:t>
      </w:r>
      <w:r w:rsidR="00ED2A1C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de </w:t>
      </w:r>
      <w:r w:rsidR="00E55F58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>diagnóstico</w:t>
      </w:r>
      <w:r w:rsidR="00784B84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, </w:t>
      </w:r>
      <w:r w:rsidR="00ED2A1C" w:rsidRPr="0070137D">
        <w:rPr>
          <w:rFonts w:eastAsia="Times New Roman" w:cs="Calibri"/>
          <w:color w:val="000000" w:themeColor="text1"/>
          <w:sz w:val="24"/>
          <w:szCs w:val="24"/>
          <w:lang w:eastAsia="es-ES"/>
        </w:rPr>
        <w:t>prueba intermedia y prueba final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>, con el fin de asegurar</w:t>
      </w:r>
      <w:r w:rsidR="007B62C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el monitoreo de</w:t>
      </w:r>
      <w:r w:rsidRPr="00C636D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una trayectoria de aprendizaje.</w:t>
      </w:r>
      <w:r w:rsidR="003C606B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 También se debe considerar pruebas de ensayo SIMCE para los</w:t>
      </w:r>
      <w:r w:rsidR="00E00266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alumnos de 4º básico y 6</w:t>
      </w:r>
      <w:r w:rsidR="003C606B">
        <w:rPr>
          <w:rFonts w:eastAsia="Times New Roman" w:cs="Calibri"/>
          <w:color w:val="000000" w:themeColor="text1"/>
          <w:sz w:val="24"/>
          <w:szCs w:val="24"/>
          <w:lang w:eastAsia="es-ES"/>
        </w:rPr>
        <w:t>º Básico 2020.</w:t>
      </w:r>
    </w:p>
    <w:p w:rsidR="003C606B" w:rsidRDefault="003C606B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3C606B" w:rsidRDefault="003C606B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  <w:r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Se espera que estas pruebas se califiquen y correspondan a una nota de evaluación formal dentro de las actividades de cada asignatura a las cuales se aplican los instrumentos.  Para ello se requiere la coordinación curricular de cada asignatura y la disponibilidad del proponente para ajustar </w:t>
      </w:r>
      <w:r w:rsidR="00673023">
        <w:rPr>
          <w:rFonts w:eastAsia="Times New Roman" w:cs="Calibri"/>
          <w:color w:val="000000" w:themeColor="text1"/>
          <w:sz w:val="24"/>
          <w:szCs w:val="24"/>
          <w:lang w:eastAsia="es-ES"/>
        </w:rPr>
        <w:t>las evaluaciones al orden de unidades que cada departamento disponga.   Esto es, no se podrán aplicar evaluaciones donde los contenidos no se hayan visto a través del programa del curso, información que se coordinará con el proponente que se adjudique.</w:t>
      </w:r>
    </w:p>
    <w:p w:rsidR="003C606B" w:rsidRDefault="003C606B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673023" w:rsidRDefault="00673023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CD7C68" w:rsidRDefault="00CD7C68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CD7C68" w:rsidRDefault="00CD7C68" w:rsidP="00BF59FB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es-ES"/>
        </w:rPr>
      </w:pPr>
    </w:p>
    <w:p w:rsidR="00BF59FB" w:rsidRDefault="007D674A" w:rsidP="00BF59FB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PRODUCTOS ESPERADOS</w:t>
      </w:r>
    </w:p>
    <w:p w:rsidR="00673023" w:rsidRDefault="00673023" w:rsidP="00673023">
      <w:pPr>
        <w:pStyle w:val="Prrafodelista"/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BC4448" w:rsidRDefault="00BC4448" w:rsidP="00BC444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D8268E">
        <w:rPr>
          <w:rFonts w:ascii="Calibri" w:eastAsia="Calibri" w:hAnsi="Calibri" w:cs="Times New Roman"/>
          <w:sz w:val="24"/>
          <w:szCs w:val="24"/>
          <w:lang w:val="es-CL"/>
        </w:rPr>
        <w:t xml:space="preserve">Implementar la aplicación de instrumentos curriculares de evaluación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en </w:t>
      </w:r>
      <w:r w:rsidR="00ED2A1C">
        <w:rPr>
          <w:rFonts w:eastAsia="Times New Roman" w:cs="Calibri"/>
          <w:color w:val="000000" w:themeColor="text1"/>
          <w:sz w:val="24"/>
          <w:szCs w:val="24"/>
          <w:lang w:eastAsia="es-ES"/>
        </w:rPr>
        <w:t>3 aplicaciones</w:t>
      </w:r>
      <w:r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los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estudiantes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 del establecimiento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, ancladas a las Bases Curriculares para cada nivel de enseñanza vigentes y directamente relaciona</w:t>
      </w:r>
      <w:r>
        <w:rPr>
          <w:rFonts w:ascii="Calibri" w:eastAsia="Calibri" w:hAnsi="Calibri" w:cs="Times New Roman"/>
          <w:sz w:val="24"/>
          <w:szCs w:val="24"/>
          <w:lang w:val="es-CL"/>
        </w:rPr>
        <w:t>das con los indicadores del PME</w:t>
      </w:r>
      <w:r w:rsidR="00CD7C68">
        <w:rPr>
          <w:rFonts w:ascii="Calibri" w:eastAsia="Calibri" w:hAnsi="Calibri" w:cs="Times New Roman"/>
          <w:sz w:val="24"/>
          <w:szCs w:val="24"/>
          <w:lang w:val="es-CL"/>
        </w:rPr>
        <w:t xml:space="preserve"> y aplicación de ensayo SIMCE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 en base al siguiente cuadro: </w:t>
      </w:r>
    </w:p>
    <w:p w:rsidR="00BC4448" w:rsidRDefault="00BC4448" w:rsidP="00BC444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1288"/>
        <w:gridCol w:w="1135"/>
        <w:gridCol w:w="1424"/>
        <w:gridCol w:w="1418"/>
        <w:gridCol w:w="1276"/>
        <w:gridCol w:w="1276"/>
      </w:tblGrid>
      <w:tr w:rsidR="003C606B" w:rsidTr="003C606B">
        <w:trPr>
          <w:jc w:val="center"/>
        </w:trPr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Nivel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Matricula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Lenguaje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Matemática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Historia, Geografía y Ciencias Sociales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606B" w:rsidRPr="00BC4448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Ciencias Naturales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C606B" w:rsidRDefault="003C606B" w:rsidP="003C606B">
            <w:pPr>
              <w:tabs>
                <w:tab w:val="left" w:pos="62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</w:p>
          <w:p w:rsidR="003C606B" w:rsidRPr="003C606B" w:rsidRDefault="003C606B" w:rsidP="003C606B">
            <w:pPr>
              <w:tabs>
                <w:tab w:val="left" w:pos="620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 w:rsidRPr="003C606B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Ensayo Simce</w:t>
            </w: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NT1</w:t>
            </w:r>
          </w:p>
        </w:tc>
        <w:tc>
          <w:tcPr>
            <w:tcW w:w="1288" w:type="dxa"/>
          </w:tcPr>
          <w:p w:rsidR="003C606B" w:rsidRDefault="00866B5D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40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ED2A1C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ED2A1C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NT2</w:t>
            </w:r>
          </w:p>
        </w:tc>
        <w:tc>
          <w:tcPr>
            <w:tcW w:w="1288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45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1°</w:t>
            </w:r>
          </w:p>
        </w:tc>
        <w:tc>
          <w:tcPr>
            <w:tcW w:w="1288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40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2°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40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78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4°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77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5°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67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6°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80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E00266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76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  <w:tr w:rsidR="003C606B" w:rsidTr="003C606B">
        <w:trPr>
          <w:jc w:val="center"/>
        </w:trPr>
        <w:tc>
          <w:tcPr>
            <w:tcW w:w="1289" w:type="dxa"/>
          </w:tcPr>
          <w:p w:rsidR="003C606B" w:rsidRDefault="003C606B" w:rsidP="00BC4448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8°</w:t>
            </w:r>
          </w:p>
        </w:tc>
        <w:tc>
          <w:tcPr>
            <w:tcW w:w="1288" w:type="dxa"/>
          </w:tcPr>
          <w:p w:rsidR="003C606B" w:rsidRDefault="00827311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36</w:t>
            </w:r>
          </w:p>
        </w:tc>
        <w:tc>
          <w:tcPr>
            <w:tcW w:w="1135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24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418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  <w:vAlign w:val="center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X</w:t>
            </w:r>
          </w:p>
        </w:tc>
        <w:tc>
          <w:tcPr>
            <w:tcW w:w="1276" w:type="dxa"/>
          </w:tcPr>
          <w:p w:rsidR="003C606B" w:rsidRDefault="003C606B" w:rsidP="00BC4448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</w:p>
        </w:tc>
      </w:tr>
    </w:tbl>
    <w:p w:rsidR="00673023" w:rsidRDefault="00673023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D7C68" w:rsidRDefault="00CD7C68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D7C68" w:rsidRDefault="00CD7C68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673023" w:rsidRDefault="00673023" w:rsidP="006A3A2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>
        <w:rPr>
          <w:rFonts w:ascii="Calibri" w:eastAsia="Calibri" w:hAnsi="Calibri" w:cs="Times New Roman"/>
          <w:sz w:val="24"/>
          <w:szCs w:val="24"/>
          <w:lang w:val="es-CL"/>
        </w:rPr>
        <w:t xml:space="preserve">Implementar aplicaciones de instrumentos con las adecuaciones curriculares propias de nuestro establecimiento. </w:t>
      </w:r>
      <w:r w:rsidR="000778BC">
        <w:rPr>
          <w:rFonts w:ascii="Calibri" w:eastAsia="Calibri" w:hAnsi="Calibri" w:cs="Times New Roman"/>
          <w:sz w:val="24"/>
          <w:szCs w:val="24"/>
          <w:lang w:val="es-CL"/>
        </w:rPr>
        <w:t xml:space="preserve">Y que se reflejan </w:t>
      </w:r>
      <w:r w:rsidR="006A2B1A">
        <w:rPr>
          <w:rFonts w:ascii="Calibri" w:eastAsia="Calibri" w:hAnsi="Calibri" w:cs="Times New Roman"/>
          <w:sz w:val="24"/>
          <w:szCs w:val="24"/>
          <w:lang w:val="es-CL"/>
        </w:rPr>
        <w:t xml:space="preserve">de 1º Básico a 8º Básico </w:t>
      </w:r>
      <w:r w:rsidR="000778BC">
        <w:rPr>
          <w:rFonts w:ascii="Calibri" w:eastAsia="Calibri" w:hAnsi="Calibri" w:cs="Times New Roman"/>
          <w:sz w:val="24"/>
          <w:szCs w:val="24"/>
          <w:lang w:val="es-CL"/>
        </w:rPr>
        <w:t>a modo de referencia en el siguiente recuadro:</w:t>
      </w:r>
    </w:p>
    <w:p w:rsidR="006A2B1A" w:rsidRDefault="006A2B1A" w:rsidP="006A2B1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819"/>
        <w:gridCol w:w="2977"/>
      </w:tblGrid>
      <w:tr w:rsidR="000778BC" w:rsidTr="000778BC">
        <w:trPr>
          <w:jc w:val="center"/>
        </w:trPr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0778BC" w:rsidRPr="00BC4448" w:rsidRDefault="000778BC" w:rsidP="001750A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Asignatura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0778BC" w:rsidRPr="00BC4448" w:rsidRDefault="000778BC" w:rsidP="001750A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Unidades 1º SEM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778BC" w:rsidRPr="00BC4448" w:rsidRDefault="000778BC" w:rsidP="001750A8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Unidades 2º SEM</w:t>
            </w:r>
          </w:p>
        </w:tc>
      </w:tr>
      <w:tr w:rsidR="000778BC" w:rsidTr="006A2B1A">
        <w:trPr>
          <w:trHeight w:val="870"/>
          <w:jc w:val="center"/>
        </w:trPr>
        <w:tc>
          <w:tcPr>
            <w:tcW w:w="3130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Lenguaje</w:t>
            </w:r>
          </w:p>
        </w:tc>
        <w:tc>
          <w:tcPr>
            <w:tcW w:w="2819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G</w:t>
            </w:r>
            <w:r w:rsidR="006A2B1A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é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nero Narrativo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Textos no Literarios</w:t>
            </w:r>
          </w:p>
        </w:tc>
        <w:tc>
          <w:tcPr>
            <w:tcW w:w="2977" w:type="dxa"/>
            <w:vAlign w:val="center"/>
          </w:tcPr>
          <w:p w:rsidR="000778BC" w:rsidRDefault="006A2B1A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Gé</w:t>
            </w:r>
            <w:r w:rsidR="000778BC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nero L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írico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Gé</w:t>
            </w:r>
            <w:r w:rsidR="00CD7C68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nero Dramá</w:t>
            </w:r>
            <w:r w:rsidR="000778BC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tico</w:t>
            </w:r>
          </w:p>
        </w:tc>
      </w:tr>
      <w:tr w:rsidR="000778BC" w:rsidTr="006A2B1A">
        <w:trPr>
          <w:trHeight w:val="837"/>
          <w:jc w:val="center"/>
        </w:trPr>
        <w:tc>
          <w:tcPr>
            <w:tcW w:w="3130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Matemática</w:t>
            </w:r>
          </w:p>
        </w:tc>
        <w:tc>
          <w:tcPr>
            <w:tcW w:w="2819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Número y Operaciones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Patrones</w:t>
            </w:r>
          </w:p>
        </w:tc>
        <w:tc>
          <w:tcPr>
            <w:tcW w:w="2977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Datos y Probabilidades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Geometría y Medición</w:t>
            </w:r>
          </w:p>
        </w:tc>
      </w:tr>
      <w:tr w:rsidR="000778BC" w:rsidTr="006A2B1A">
        <w:trPr>
          <w:trHeight w:val="817"/>
          <w:jc w:val="center"/>
        </w:trPr>
        <w:tc>
          <w:tcPr>
            <w:tcW w:w="3130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Historia, Geografía y Ciencias Sociales</w:t>
            </w:r>
          </w:p>
        </w:tc>
        <w:tc>
          <w:tcPr>
            <w:tcW w:w="2819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Historia</w:t>
            </w:r>
          </w:p>
        </w:tc>
        <w:tc>
          <w:tcPr>
            <w:tcW w:w="2977" w:type="dxa"/>
            <w:vAlign w:val="center"/>
          </w:tcPr>
          <w:p w:rsidR="000778BC" w:rsidRDefault="006A2B1A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Geografía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Formación Ciudadana</w:t>
            </w:r>
          </w:p>
        </w:tc>
      </w:tr>
      <w:tr w:rsidR="000778BC" w:rsidTr="006A2B1A">
        <w:trPr>
          <w:trHeight w:val="925"/>
          <w:jc w:val="center"/>
        </w:trPr>
        <w:tc>
          <w:tcPr>
            <w:tcW w:w="3130" w:type="dxa"/>
            <w:vAlign w:val="center"/>
          </w:tcPr>
          <w:p w:rsidR="000778BC" w:rsidRDefault="000778BC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BC4448">
              <w:rPr>
                <w:rFonts w:ascii="Calibri" w:eastAsia="Calibri" w:hAnsi="Calibri" w:cs="Times New Roman"/>
                <w:b/>
                <w:sz w:val="24"/>
                <w:szCs w:val="24"/>
                <w:lang w:val="es-CL"/>
              </w:rPr>
              <w:t>Ciencias Naturales</w:t>
            </w:r>
          </w:p>
        </w:tc>
        <w:tc>
          <w:tcPr>
            <w:tcW w:w="2819" w:type="dxa"/>
            <w:vAlign w:val="center"/>
          </w:tcPr>
          <w:p w:rsidR="000778BC" w:rsidRDefault="006A2B1A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Ciencias de la Vida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Cuerpo humano y salud</w:t>
            </w:r>
          </w:p>
        </w:tc>
        <w:tc>
          <w:tcPr>
            <w:tcW w:w="2977" w:type="dxa"/>
            <w:vAlign w:val="center"/>
          </w:tcPr>
          <w:p w:rsidR="000778BC" w:rsidRDefault="006A2B1A" w:rsidP="006A2B1A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Ciencias Físicas y Químicas</w:t>
            </w:r>
            <w:r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br/>
              <w:t>Tierra y Universo</w:t>
            </w:r>
          </w:p>
        </w:tc>
      </w:tr>
    </w:tbl>
    <w:p w:rsidR="000778BC" w:rsidRDefault="000778BC" w:rsidP="006A2B1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D7C68" w:rsidRDefault="00CD7C68" w:rsidP="006A2B1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D7C68" w:rsidRDefault="00CD7C68" w:rsidP="006A2B1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6A3A28" w:rsidRDefault="007D674A" w:rsidP="006A3A2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7D674A">
        <w:rPr>
          <w:rFonts w:ascii="Calibri" w:eastAsia="Calibri" w:hAnsi="Calibri" w:cs="Times New Roman"/>
          <w:sz w:val="24"/>
          <w:szCs w:val="24"/>
          <w:lang w:val="es-CL"/>
        </w:rPr>
        <w:t xml:space="preserve">Entregar informes de resultados de acuerdo a lo solicitado en </w:t>
      </w:r>
      <w:r w:rsidRPr="00D8268E">
        <w:rPr>
          <w:rFonts w:ascii="Calibri" w:eastAsia="Calibri" w:hAnsi="Calibri" w:cs="Times New Roman"/>
          <w:sz w:val="24"/>
          <w:szCs w:val="24"/>
          <w:lang w:val="es-CL"/>
        </w:rPr>
        <w:t>directamente relacionadas con los indicadores del PME</w:t>
      </w:r>
      <w:r w:rsidR="00BC4448">
        <w:rPr>
          <w:rFonts w:ascii="Calibri" w:eastAsia="Calibri" w:hAnsi="Calibri" w:cs="Times New Roman"/>
          <w:sz w:val="24"/>
          <w:szCs w:val="24"/>
          <w:lang w:val="es-CL"/>
        </w:rPr>
        <w:t xml:space="preserve"> por cada aplicación</w:t>
      </w:r>
      <w:r w:rsidR="006A3A28">
        <w:rPr>
          <w:rFonts w:ascii="Calibri" w:eastAsia="Calibri" w:hAnsi="Calibri" w:cs="Times New Roman"/>
          <w:sz w:val="24"/>
          <w:szCs w:val="24"/>
          <w:lang w:val="es-CL"/>
        </w:rPr>
        <w:t xml:space="preserve"> en un plazo no superior a 10 días una vez recibido todo el material:</w:t>
      </w:r>
    </w:p>
    <w:p w:rsidR="006A3A28" w:rsidRPr="006A3A28" w:rsidRDefault="006A3A28" w:rsidP="006A3A2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por asignatura: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datos de promedio de logro de todos los niveles escolares evaluados por asignatura, eje y/o habilidad; cantidad de alumnos por nivel de logro asociado a las categorías Alto, Medio alto, Medio bajo y Bajo, por ejes y/o habilidades, por todo el nivel, exigidas por el plan de mejoramiento educativo (PME); resultados por alumno, planilla Excel entregada solo en formato digital.</w:t>
      </w:r>
    </w:p>
    <w:p w:rsidR="006A3A28" w:rsidRPr="00D8268E" w:rsidRDefault="006A3A28" w:rsidP="006A3A28">
      <w:pPr>
        <w:widowControl w:val="0"/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por nivel: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datos de promedio de logro de un nivel escolar por asignatura, eje y/o habilidad; cantidad de alumnos por nivel de desempeño asociado a las categorías Alto, Medio alto, Medio bajo y Bajo, por curso, por asignatura, ejes y/o habilidades, exigidas por el plan de mejoramiento educativo (PME); mapa de calor, el cual corresponde a una tabla que entrega información acerca del comportamiento de los estudiantes por cada eje o habilidad medida en cada asignatura.</w:t>
      </w:r>
    </w:p>
    <w:p w:rsidR="006A3A28" w:rsidRDefault="006A3A28" w:rsidP="006A3A28">
      <w:pPr>
        <w:widowControl w:val="0"/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6A3A28" w:rsidRPr="006A3A28" w:rsidRDefault="006A3A28" w:rsidP="006A3A28">
      <w:pPr>
        <w:pStyle w:val="Prrafodelista"/>
        <w:widowControl w:val="0"/>
        <w:numPr>
          <w:ilvl w:val="2"/>
          <w:numId w:val="33"/>
        </w:numPr>
        <w:adjustRightInd w:val="0"/>
        <w:spacing w:after="0" w:line="240" w:lineRule="auto"/>
        <w:ind w:left="993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6A3A28">
        <w:rPr>
          <w:rFonts w:ascii="Calibri" w:eastAsia="Times New Roman" w:hAnsi="Calibri" w:cs="Times New Roman"/>
          <w:i/>
          <w:sz w:val="24"/>
          <w:szCs w:val="24"/>
          <w:lang w:eastAsia="es-CL"/>
        </w:rPr>
        <w:t>Informe de resultados para el apoderado: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este informe entrega información acerca de los resultados de cada alumno evaluado en cada asignatura, en un lenguaje propicio, apuntando a apoyar al docente en la entrega de información sobre los resultados al apoderado. Su estructura irá variando en relación con cada instancia de evaluación; se sugiere que sea el profesor jefe de cada curso quien lo administre y entregue a sus apoderados.</w:t>
      </w:r>
    </w:p>
    <w:p w:rsidR="007D674A" w:rsidRDefault="007D674A" w:rsidP="007D674A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</w:p>
    <w:p w:rsidR="00C2630A" w:rsidRPr="006A3A28" w:rsidRDefault="007D674A" w:rsidP="006A3A28">
      <w:pPr>
        <w:numPr>
          <w:ilvl w:val="0"/>
          <w:numId w:val="30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7D674A">
        <w:rPr>
          <w:rFonts w:ascii="Calibri" w:eastAsia="Calibri" w:hAnsi="Calibri" w:cs="Times New Roman"/>
          <w:sz w:val="24"/>
          <w:szCs w:val="24"/>
          <w:lang w:val="es-CL"/>
        </w:rPr>
        <w:t xml:space="preserve">Presentación </w:t>
      </w:r>
      <w:r>
        <w:rPr>
          <w:rFonts w:ascii="Calibri" w:eastAsia="Calibri" w:hAnsi="Calibri" w:cs="Times New Roman"/>
          <w:sz w:val="24"/>
          <w:szCs w:val="24"/>
          <w:lang w:val="es-CL"/>
        </w:rPr>
        <w:t xml:space="preserve"> y análisis </w:t>
      </w:r>
      <w:r w:rsidRPr="007D674A">
        <w:rPr>
          <w:rFonts w:ascii="Calibri" w:eastAsia="Calibri" w:hAnsi="Calibri" w:cs="Times New Roman"/>
          <w:sz w:val="24"/>
          <w:szCs w:val="24"/>
          <w:lang w:val="es-CL"/>
        </w:rPr>
        <w:t>de resultados</w:t>
      </w:r>
      <w:r w:rsidR="00BC4448">
        <w:rPr>
          <w:rFonts w:ascii="Calibri" w:eastAsia="Calibri" w:hAnsi="Calibri" w:cs="Times New Roman"/>
          <w:sz w:val="24"/>
          <w:szCs w:val="24"/>
          <w:lang w:val="es-CL"/>
        </w:rPr>
        <w:t xml:space="preserve"> al equipo técnico y directivo del establecimiento.</w:t>
      </w:r>
    </w:p>
    <w:p w:rsidR="007B62C6" w:rsidRDefault="007B62C6" w:rsidP="007B62C6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es-CL"/>
        </w:rPr>
      </w:pPr>
    </w:p>
    <w:p w:rsidR="00AA0909" w:rsidRPr="003C606B" w:rsidRDefault="00F804FC" w:rsidP="00B0555B">
      <w:pPr>
        <w:widowControl w:val="0"/>
        <w:numPr>
          <w:ilvl w:val="0"/>
          <w:numId w:val="30"/>
        </w:numPr>
        <w:adjustRightInd w:val="0"/>
        <w:spacing w:after="0" w:line="240" w:lineRule="auto"/>
        <w:ind w:left="709" w:hanging="709"/>
        <w:jc w:val="both"/>
        <w:textAlignment w:val="baseline"/>
        <w:rPr>
          <w:rFonts w:eastAsia="Times New Roman" w:cs="Calibri"/>
          <w:sz w:val="24"/>
          <w:szCs w:val="24"/>
          <w:lang w:eastAsia="es-ES"/>
        </w:rPr>
      </w:pP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>Propuestas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de mejora</w:t>
      </w:r>
      <w:r w:rsidR="008B253D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de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 xml:space="preserve"> actividades didácticas</w:t>
      </w:r>
      <w:r w:rsidRP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</w:t>
      </w:r>
      <w:r w:rsidRPr="006A3A28">
        <w:rPr>
          <w:rFonts w:ascii="Calibri" w:eastAsia="Times New Roman" w:hAnsi="Calibri" w:cs="Times New Roman"/>
          <w:b/>
          <w:sz w:val="24"/>
          <w:szCs w:val="24"/>
          <w:lang w:eastAsia="es-CL"/>
        </w:rPr>
        <w:t>por cada eje y/o habilidad medida</w:t>
      </w:r>
      <w:r w:rsidR="006A3A28">
        <w:rPr>
          <w:rFonts w:ascii="Calibri" w:eastAsia="Times New Roman" w:hAnsi="Calibri" w:cs="Times New Roman"/>
          <w:sz w:val="24"/>
          <w:szCs w:val="24"/>
          <w:lang w:eastAsia="es-CL"/>
        </w:rPr>
        <w:t xml:space="preserve">. </w:t>
      </w:r>
    </w:p>
    <w:p w:rsidR="006A3A28" w:rsidRPr="006A3A28" w:rsidRDefault="006A3A28" w:rsidP="003C606B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es-ES"/>
        </w:rPr>
      </w:pPr>
    </w:p>
    <w:p w:rsidR="006A7C2D" w:rsidRDefault="006A7C2D" w:rsidP="006A7C2D">
      <w:pPr>
        <w:pStyle w:val="Prrafodelista"/>
        <w:numPr>
          <w:ilvl w:val="0"/>
          <w:numId w:val="18"/>
        </w:numPr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  <w:r>
        <w:rPr>
          <w:rFonts w:eastAsia="Times New Roman" w:cs="Calibri"/>
          <w:b/>
          <w:sz w:val="24"/>
          <w:szCs w:val="24"/>
          <w:u w:val="single"/>
          <w:lang w:eastAsia="es-ES"/>
        </w:rPr>
        <w:t>METODOLOG</w:t>
      </w:r>
      <w:r w:rsidR="00290208">
        <w:rPr>
          <w:rFonts w:eastAsia="Times New Roman" w:cs="Calibri"/>
          <w:b/>
          <w:sz w:val="24"/>
          <w:szCs w:val="24"/>
          <w:u w:val="single"/>
          <w:lang w:eastAsia="es-ES"/>
        </w:rPr>
        <w:t>Í</w:t>
      </w:r>
      <w:r>
        <w:rPr>
          <w:rFonts w:eastAsia="Times New Roman" w:cs="Calibri"/>
          <w:b/>
          <w:sz w:val="24"/>
          <w:szCs w:val="24"/>
          <w:u w:val="single"/>
          <w:lang w:eastAsia="es-ES"/>
        </w:rPr>
        <w:t xml:space="preserve">A </w:t>
      </w:r>
      <w:r w:rsidR="00C636D6">
        <w:rPr>
          <w:rFonts w:eastAsia="Times New Roman" w:cs="Calibri"/>
          <w:b/>
          <w:sz w:val="24"/>
          <w:szCs w:val="24"/>
          <w:u w:val="single"/>
          <w:lang w:eastAsia="es-ES"/>
        </w:rPr>
        <w:t>DE APLICACIÓN</w:t>
      </w:r>
    </w:p>
    <w:p w:rsidR="006A7C2D" w:rsidRDefault="006A7C2D" w:rsidP="006A7C2D">
      <w:pPr>
        <w:pStyle w:val="Prrafodelista"/>
        <w:spacing w:after="0" w:line="240" w:lineRule="auto"/>
        <w:ind w:left="0"/>
        <w:jc w:val="both"/>
        <w:rPr>
          <w:rFonts w:eastAsia="Times New Roman" w:cs="Calibri"/>
          <w:b/>
          <w:sz w:val="24"/>
          <w:szCs w:val="24"/>
          <w:u w:val="single"/>
          <w:lang w:eastAsia="es-ES"/>
        </w:rPr>
      </w:pPr>
    </w:p>
    <w:p w:rsidR="00645216" w:rsidRDefault="00645216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  <w:r w:rsidRPr="00645216">
        <w:rPr>
          <w:rFonts w:eastAsia="Times New Roman" w:cs="Calibri"/>
          <w:sz w:val="24"/>
          <w:szCs w:val="24"/>
          <w:lang w:eastAsia="es-ES"/>
        </w:rPr>
        <w:t>La aplicación de los instrume</w:t>
      </w:r>
      <w:r w:rsidR="003B0385">
        <w:rPr>
          <w:rFonts w:eastAsia="Times New Roman" w:cs="Calibri"/>
          <w:sz w:val="24"/>
          <w:szCs w:val="24"/>
          <w:lang w:eastAsia="es-ES"/>
        </w:rPr>
        <w:t xml:space="preserve">ntos se sugiere llevarla a cabo en 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dos días, por cada instancia de aplicación; esto puede reorganizarse </w:t>
      </w:r>
      <w:r>
        <w:rPr>
          <w:rFonts w:eastAsia="Times New Roman" w:cs="Calibri"/>
          <w:sz w:val="24"/>
          <w:szCs w:val="24"/>
          <w:lang w:eastAsia="es-ES"/>
        </w:rPr>
        <w:t>en común acuerdo con la empresa adjudicada</w:t>
      </w:r>
      <w:r w:rsidRPr="00645216">
        <w:rPr>
          <w:rFonts w:eastAsia="Times New Roman" w:cs="Calibri"/>
          <w:sz w:val="24"/>
          <w:szCs w:val="24"/>
          <w:lang w:eastAsia="es-ES"/>
        </w:rPr>
        <w:t>, ajustan</w:t>
      </w:r>
      <w:r w:rsidR="003B0385">
        <w:rPr>
          <w:rFonts w:eastAsia="Times New Roman" w:cs="Calibri"/>
          <w:sz w:val="24"/>
          <w:szCs w:val="24"/>
          <w:lang w:eastAsia="es-ES"/>
        </w:rPr>
        <w:t>do los plazos de manera acorde. C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abe mencionar que la organización de la aplicación de los instrumentos tiene como regla aplicar </w:t>
      </w:r>
      <w:r w:rsidRPr="00645216">
        <w:rPr>
          <w:rFonts w:eastAsia="Times New Roman" w:cs="Calibri"/>
          <w:b/>
          <w:sz w:val="24"/>
          <w:szCs w:val="24"/>
          <w:lang w:eastAsia="es-ES"/>
        </w:rPr>
        <w:t>máximo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dos instrumentos por día. </w:t>
      </w:r>
    </w:p>
    <w:p w:rsidR="006A3A28" w:rsidRPr="00645216" w:rsidRDefault="006A3A28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</w:p>
    <w:p w:rsidR="00645216" w:rsidRDefault="00645216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  <w:r w:rsidRPr="00645216">
        <w:rPr>
          <w:rFonts w:eastAsia="Times New Roman" w:cs="Calibri"/>
          <w:sz w:val="24"/>
          <w:szCs w:val="24"/>
          <w:lang w:eastAsia="es-ES"/>
        </w:rPr>
        <w:t xml:space="preserve">Se </w:t>
      </w:r>
      <w:r w:rsidR="006A3A28">
        <w:rPr>
          <w:rFonts w:eastAsia="Times New Roman" w:cs="Calibri"/>
          <w:sz w:val="24"/>
          <w:szCs w:val="24"/>
          <w:lang w:eastAsia="es-ES"/>
        </w:rPr>
        <w:t>deberá evaluar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a todos los alumnos que estén dentro de la sala de clases. </w:t>
      </w:r>
      <w:r>
        <w:rPr>
          <w:rFonts w:eastAsia="Times New Roman" w:cs="Calibri"/>
          <w:sz w:val="24"/>
          <w:szCs w:val="24"/>
          <w:lang w:eastAsia="es-ES"/>
        </w:rPr>
        <w:t xml:space="preserve">Es importante considerar que si el nivel de asistencia es menor a 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un porcentaje </w:t>
      </w:r>
      <w:r w:rsidRPr="00645216">
        <w:rPr>
          <w:rFonts w:eastAsia="Times New Roman" w:cs="Calibri"/>
          <w:b/>
          <w:sz w:val="24"/>
          <w:szCs w:val="24"/>
          <w:lang w:eastAsia="es-ES"/>
        </w:rPr>
        <w:t>mínimo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de un 60% de asiste</w:t>
      </w:r>
      <w:r>
        <w:rPr>
          <w:rFonts w:eastAsia="Times New Roman" w:cs="Calibri"/>
          <w:sz w:val="24"/>
          <w:szCs w:val="24"/>
          <w:lang w:eastAsia="es-ES"/>
        </w:rPr>
        <w:t>ncia de estudiantes a la prueba</w:t>
      </w:r>
      <w:r w:rsidRPr="00645216">
        <w:rPr>
          <w:rFonts w:eastAsia="Times New Roman" w:cs="Calibri"/>
          <w:sz w:val="24"/>
          <w:szCs w:val="24"/>
          <w:lang w:eastAsia="es-ES"/>
        </w:rPr>
        <w:t xml:space="preserve"> la aplicación se debe suspender.</w:t>
      </w:r>
    </w:p>
    <w:p w:rsidR="006A3A28" w:rsidRDefault="006A3A28" w:rsidP="006A3A28">
      <w:pPr>
        <w:pStyle w:val="Prrafodelista"/>
        <w:ind w:left="426"/>
        <w:jc w:val="both"/>
        <w:rPr>
          <w:rFonts w:eastAsia="Times New Roman" w:cs="Calibri"/>
          <w:sz w:val="24"/>
          <w:szCs w:val="24"/>
          <w:lang w:eastAsia="es-ES"/>
        </w:rPr>
      </w:pPr>
    </w:p>
    <w:p w:rsidR="007C6889" w:rsidRPr="006A3A28" w:rsidRDefault="006A3A28" w:rsidP="00CD7C68">
      <w:pPr>
        <w:pStyle w:val="Prrafodelista"/>
        <w:ind w:left="426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>
        <w:rPr>
          <w:rFonts w:eastAsia="Times New Roman" w:cs="Calibri"/>
          <w:sz w:val="24"/>
          <w:szCs w:val="24"/>
          <w:lang w:eastAsia="es-ES"/>
        </w:rPr>
        <w:t>El oferente deberá presentar un plan de aplicación que contenga al menos los siguientes componentes:</w:t>
      </w:r>
      <w:r w:rsidR="00CD7C68">
        <w:rPr>
          <w:rFonts w:eastAsia="Times New Roman" w:cs="Calibri"/>
          <w:sz w:val="24"/>
          <w:szCs w:val="24"/>
          <w:lang w:eastAsia="es-ES"/>
        </w:rPr>
        <w:t xml:space="preserve"> </w:t>
      </w:r>
      <w:r w:rsidR="00645216" w:rsidRPr="00D8268E">
        <w:rPr>
          <w:rFonts w:ascii="Calibri" w:eastAsia="Calibri" w:hAnsi="Calibri" w:cs="Times New Roman"/>
          <w:b/>
          <w:sz w:val="24"/>
          <w:szCs w:val="24"/>
        </w:rPr>
        <w:t>C</w:t>
      </w:r>
      <w:r w:rsidR="003B0385">
        <w:rPr>
          <w:rFonts w:ascii="Calibri" w:eastAsia="Calibri" w:hAnsi="Calibri" w:cs="Times New Roman"/>
          <w:b/>
          <w:sz w:val="24"/>
          <w:szCs w:val="24"/>
          <w:lang w:val="es-CL"/>
        </w:rPr>
        <w:t>oo</w:t>
      </w:r>
      <w:r w:rsidR="003B0385" w:rsidRPr="00D8268E">
        <w:rPr>
          <w:rFonts w:ascii="Calibri" w:eastAsia="Calibri" w:hAnsi="Calibri" w:cs="Times New Roman"/>
          <w:b/>
          <w:sz w:val="24"/>
          <w:szCs w:val="24"/>
          <w:lang w:val="es-CL"/>
        </w:rPr>
        <w:t>rdinación</w:t>
      </w:r>
      <w:r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inicial</w:t>
      </w:r>
      <w:r w:rsidR="00CD7C68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, </w:t>
      </w:r>
      <w:r w:rsidR="00645216" w:rsidRPr="00645216">
        <w:rPr>
          <w:rFonts w:ascii="Calibri" w:eastAsia="Calibri" w:hAnsi="Calibri" w:cs="Times New Roman"/>
          <w:b/>
          <w:sz w:val="24"/>
          <w:szCs w:val="24"/>
          <w:lang w:val="es-CL"/>
        </w:rPr>
        <w:t>Solicitud de nóminas de los alumnos</w:t>
      </w:r>
      <w:r w:rsidR="00CD7C68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  <w:lang w:val="es-CL"/>
        </w:rPr>
        <w:t>Coordinación para la aplicación</w:t>
      </w:r>
      <w:r w:rsidR="00CD7C68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, </w:t>
      </w:r>
      <w:r w:rsidR="00645216" w:rsidRPr="00D916C2">
        <w:rPr>
          <w:rFonts w:ascii="Calibri" w:eastAsia="Calibri" w:hAnsi="Calibri" w:cs="Times New Roman"/>
          <w:b/>
          <w:sz w:val="24"/>
          <w:szCs w:val="24"/>
          <w:lang w:val="es-CL"/>
        </w:rPr>
        <w:t>Contacto previo a la aplicación</w:t>
      </w:r>
      <w:r w:rsidR="00CD7C68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  <w:lang w:val="es-CL"/>
        </w:rPr>
        <w:t>Modalidad de a</w:t>
      </w:r>
      <w:r w:rsidR="00645216" w:rsidRPr="00D82E4D">
        <w:rPr>
          <w:rFonts w:ascii="Calibri" w:eastAsia="Calibri" w:hAnsi="Calibri" w:cs="Times New Roman"/>
          <w:b/>
          <w:sz w:val="24"/>
          <w:szCs w:val="24"/>
          <w:lang w:val="es-CL"/>
        </w:rPr>
        <w:t>plicación de las pruebas</w:t>
      </w:r>
      <w:r w:rsidR="00CD7C68">
        <w:rPr>
          <w:rFonts w:ascii="Calibri" w:eastAsia="Calibri" w:hAnsi="Calibri" w:cs="Times New Roman"/>
          <w:sz w:val="24"/>
          <w:szCs w:val="24"/>
          <w:lang w:val="es-CL"/>
        </w:rPr>
        <w:t>.</w:t>
      </w:r>
      <w:r w:rsidR="00784B84" w:rsidRPr="005858D6">
        <w:rPr>
          <w:rFonts w:ascii="Calibri" w:eastAsia="Calibri" w:hAnsi="Calibri" w:cs="Times New Roman"/>
          <w:sz w:val="24"/>
          <w:szCs w:val="24"/>
          <w:lang w:val="es-CL" w:eastAsia="es-ES"/>
        </w:rPr>
        <w:t xml:space="preserve"> </w:t>
      </w:r>
    </w:p>
    <w:sectPr w:rsidR="007C6889" w:rsidRPr="006A3A28" w:rsidSect="00BC4448">
      <w:headerReference w:type="default" r:id="rId8"/>
      <w:footerReference w:type="default" r:id="rId9"/>
      <w:pgSz w:w="12240" w:h="15840" w:code="1"/>
      <w:pgMar w:top="567" w:right="1041" w:bottom="709" w:left="1134" w:header="473" w:footer="0" w:gutter="0"/>
      <w:cols w:space="720" w:equalWidth="0">
        <w:col w:w="1006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E7" w:rsidRDefault="000916E7" w:rsidP="008924D7">
      <w:pPr>
        <w:spacing w:after="0" w:line="240" w:lineRule="auto"/>
      </w:pPr>
      <w:r>
        <w:separator/>
      </w:r>
    </w:p>
  </w:endnote>
  <w:endnote w:type="continuationSeparator" w:id="0">
    <w:p w:rsidR="000916E7" w:rsidRDefault="000916E7" w:rsidP="0089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B55" w:rsidRDefault="006E6B55">
    <w:pPr>
      <w:pStyle w:val="Piedepgina"/>
      <w:jc w:val="center"/>
    </w:pPr>
  </w:p>
  <w:p w:rsidR="006E6B55" w:rsidRDefault="006E6B55">
    <w:pPr>
      <w:pStyle w:val="Piedepgina"/>
      <w:jc w:val="center"/>
    </w:pPr>
  </w:p>
  <w:p w:rsidR="008924D7" w:rsidRDefault="008924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E7" w:rsidRDefault="000916E7" w:rsidP="008924D7">
      <w:pPr>
        <w:spacing w:after="0" w:line="240" w:lineRule="auto"/>
      </w:pPr>
      <w:r>
        <w:separator/>
      </w:r>
    </w:p>
  </w:footnote>
  <w:footnote w:type="continuationSeparator" w:id="0">
    <w:p w:rsidR="000916E7" w:rsidRDefault="000916E7" w:rsidP="0089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6B" w:rsidRDefault="003C606B">
    <w:pPr>
      <w:pStyle w:val="Encabezado"/>
    </w:pPr>
    <w:r>
      <w:rPr>
        <w:noProof/>
      </w:rPr>
      <w:drawing>
        <wp:inline distT="0" distB="0" distL="0" distR="0" wp14:anchorId="57602309" wp14:editId="1E2CF9C5">
          <wp:extent cx="1123950" cy="4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academia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27" cy="48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5pt;height:10.5pt" o:bullet="t">
        <v:imagedata r:id="rId1" o:title="mso566C"/>
      </v:shape>
    </w:pict>
  </w:numPicBullet>
  <w:abstractNum w:abstractNumId="0" w15:restartNumberingAfterBreak="0">
    <w:nsid w:val="05AB1592"/>
    <w:multiLevelType w:val="hybridMultilevel"/>
    <w:tmpl w:val="4EC08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BC"/>
    <w:multiLevelType w:val="hybridMultilevel"/>
    <w:tmpl w:val="9FE48A9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4FBA"/>
    <w:multiLevelType w:val="hybridMultilevel"/>
    <w:tmpl w:val="ACD86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B58"/>
    <w:multiLevelType w:val="hybridMultilevel"/>
    <w:tmpl w:val="5768C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7744"/>
    <w:multiLevelType w:val="hybridMultilevel"/>
    <w:tmpl w:val="9BDA6F7E"/>
    <w:lvl w:ilvl="0" w:tplc="2C728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1ADF"/>
    <w:multiLevelType w:val="hybridMultilevel"/>
    <w:tmpl w:val="AC1C3ECE"/>
    <w:lvl w:ilvl="0" w:tplc="F8B4B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2C0"/>
    <w:multiLevelType w:val="hybridMultilevel"/>
    <w:tmpl w:val="FD10F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253D"/>
    <w:multiLevelType w:val="hybridMultilevel"/>
    <w:tmpl w:val="98324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F0C"/>
    <w:multiLevelType w:val="hybridMultilevel"/>
    <w:tmpl w:val="31B202E4"/>
    <w:lvl w:ilvl="0" w:tplc="C010E0B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80309"/>
    <w:multiLevelType w:val="hybridMultilevel"/>
    <w:tmpl w:val="45BEE19A"/>
    <w:lvl w:ilvl="0" w:tplc="340A0019">
      <w:start w:val="1"/>
      <w:numFmt w:val="lowerLetter"/>
      <w:lvlText w:val="%1."/>
      <w:lvlJc w:val="left"/>
      <w:pPr>
        <w:ind w:left="1068" w:hanging="360"/>
      </w:pPr>
      <w:rPr>
        <w:color w:val="auto"/>
      </w:rPr>
    </w:lvl>
    <w:lvl w:ilvl="1" w:tplc="917EF842">
      <w:start w:val="1"/>
      <w:numFmt w:val="lowerLetter"/>
      <w:lvlText w:val="%2."/>
      <w:lvlJc w:val="left"/>
      <w:pPr>
        <w:ind w:left="1788" w:hanging="360"/>
      </w:pPr>
      <w:rPr>
        <w:lang w:val="es-CL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5B0D2A"/>
    <w:multiLevelType w:val="hybridMultilevel"/>
    <w:tmpl w:val="014284EC"/>
    <w:lvl w:ilvl="0" w:tplc="E2B4A1B4">
      <w:start w:val="25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44F0"/>
    <w:multiLevelType w:val="hybridMultilevel"/>
    <w:tmpl w:val="9D8A5A36"/>
    <w:lvl w:ilvl="0" w:tplc="C010E0B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9B668D"/>
    <w:multiLevelType w:val="hybridMultilevel"/>
    <w:tmpl w:val="FF4CCF28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317A7"/>
    <w:multiLevelType w:val="hybridMultilevel"/>
    <w:tmpl w:val="449EB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C4F71"/>
    <w:multiLevelType w:val="hybridMultilevel"/>
    <w:tmpl w:val="ACDAA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00"/>
    <w:multiLevelType w:val="hybridMultilevel"/>
    <w:tmpl w:val="61A43E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6E3C"/>
    <w:multiLevelType w:val="hybridMultilevel"/>
    <w:tmpl w:val="95A8B1CE"/>
    <w:lvl w:ilvl="0" w:tplc="3E885C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04705"/>
    <w:multiLevelType w:val="hybridMultilevel"/>
    <w:tmpl w:val="9A8EA772"/>
    <w:lvl w:ilvl="0" w:tplc="340A0015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4F1995"/>
    <w:multiLevelType w:val="hybridMultilevel"/>
    <w:tmpl w:val="1DEA0D1A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B3A46"/>
    <w:multiLevelType w:val="hybridMultilevel"/>
    <w:tmpl w:val="80F48B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5B58"/>
    <w:multiLevelType w:val="hybridMultilevel"/>
    <w:tmpl w:val="364C79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838"/>
    <w:multiLevelType w:val="hybridMultilevel"/>
    <w:tmpl w:val="84C87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B4747"/>
    <w:multiLevelType w:val="hybridMultilevel"/>
    <w:tmpl w:val="060C7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454DD"/>
    <w:multiLevelType w:val="hybridMultilevel"/>
    <w:tmpl w:val="C2C48262"/>
    <w:lvl w:ilvl="0" w:tplc="4A10C0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3439"/>
    <w:multiLevelType w:val="hybridMultilevel"/>
    <w:tmpl w:val="59568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C1E14"/>
    <w:multiLevelType w:val="hybridMultilevel"/>
    <w:tmpl w:val="59045E4E"/>
    <w:lvl w:ilvl="0" w:tplc="4408731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5F120293"/>
    <w:multiLevelType w:val="hybridMultilevel"/>
    <w:tmpl w:val="3AC03F62"/>
    <w:lvl w:ilvl="0" w:tplc="BE8A554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12A47FC"/>
    <w:multiLevelType w:val="hybridMultilevel"/>
    <w:tmpl w:val="EC38C1A4"/>
    <w:lvl w:ilvl="0" w:tplc="5F8630E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E48D0"/>
    <w:multiLevelType w:val="multilevel"/>
    <w:tmpl w:val="44A604C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907CF8"/>
    <w:multiLevelType w:val="multilevel"/>
    <w:tmpl w:val="FD926D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500AEC"/>
    <w:multiLevelType w:val="hybridMultilevel"/>
    <w:tmpl w:val="8B56F0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E3EDB"/>
    <w:multiLevelType w:val="hybridMultilevel"/>
    <w:tmpl w:val="209C4A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39F0"/>
    <w:multiLevelType w:val="hybridMultilevel"/>
    <w:tmpl w:val="E8AA4B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8"/>
  </w:num>
  <w:num w:numId="5">
    <w:abstractNumId w:val="15"/>
  </w:num>
  <w:num w:numId="6">
    <w:abstractNumId w:val="16"/>
  </w:num>
  <w:num w:numId="7">
    <w:abstractNumId w:val="29"/>
  </w:num>
  <w:num w:numId="8">
    <w:abstractNumId w:val="1"/>
  </w:num>
  <w:num w:numId="9">
    <w:abstractNumId w:val="32"/>
  </w:num>
  <w:num w:numId="10">
    <w:abstractNumId w:val="30"/>
  </w:num>
  <w:num w:numId="11">
    <w:abstractNumId w:val="28"/>
  </w:num>
  <w:num w:numId="12">
    <w:abstractNumId w:val="22"/>
  </w:num>
  <w:num w:numId="13">
    <w:abstractNumId w:val="26"/>
  </w:num>
  <w:num w:numId="14">
    <w:abstractNumId w:val="10"/>
  </w:num>
  <w:num w:numId="15">
    <w:abstractNumId w:val="27"/>
  </w:num>
  <w:num w:numId="16">
    <w:abstractNumId w:val="14"/>
  </w:num>
  <w:num w:numId="17">
    <w:abstractNumId w:val="31"/>
  </w:num>
  <w:num w:numId="18">
    <w:abstractNumId w:val="5"/>
  </w:num>
  <w:num w:numId="19">
    <w:abstractNumId w:val="24"/>
  </w:num>
  <w:num w:numId="20">
    <w:abstractNumId w:val="19"/>
  </w:num>
  <w:num w:numId="21">
    <w:abstractNumId w:val="13"/>
  </w:num>
  <w:num w:numId="22">
    <w:abstractNumId w:val="2"/>
  </w:num>
  <w:num w:numId="23">
    <w:abstractNumId w:val="6"/>
  </w:num>
  <w:num w:numId="24">
    <w:abstractNumId w:val="4"/>
  </w:num>
  <w:num w:numId="25">
    <w:abstractNumId w:val="3"/>
  </w:num>
  <w:num w:numId="26">
    <w:abstractNumId w:val="7"/>
  </w:num>
  <w:num w:numId="27">
    <w:abstractNumId w:val="0"/>
  </w:num>
  <w:num w:numId="28">
    <w:abstractNumId w:val="25"/>
  </w:num>
  <w:num w:numId="29">
    <w:abstractNumId w:val="21"/>
  </w:num>
  <w:num w:numId="30">
    <w:abstractNumId w:val="17"/>
  </w:num>
  <w:num w:numId="31">
    <w:abstractNumId w:val="9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FF"/>
    <w:rsid w:val="0000622D"/>
    <w:rsid w:val="0001062E"/>
    <w:rsid w:val="0002415D"/>
    <w:rsid w:val="000249B6"/>
    <w:rsid w:val="00036CFE"/>
    <w:rsid w:val="0004302B"/>
    <w:rsid w:val="00043DB1"/>
    <w:rsid w:val="000778BC"/>
    <w:rsid w:val="00084F8E"/>
    <w:rsid w:val="00090CA9"/>
    <w:rsid w:val="000916E7"/>
    <w:rsid w:val="000C4229"/>
    <w:rsid w:val="000D0FDB"/>
    <w:rsid w:val="000D61DE"/>
    <w:rsid w:val="000E7707"/>
    <w:rsid w:val="000F1FB2"/>
    <w:rsid w:val="00106D61"/>
    <w:rsid w:val="0010734C"/>
    <w:rsid w:val="0011152E"/>
    <w:rsid w:val="0011565E"/>
    <w:rsid w:val="001171C3"/>
    <w:rsid w:val="00127C21"/>
    <w:rsid w:val="001314E9"/>
    <w:rsid w:val="00131FB2"/>
    <w:rsid w:val="0014573E"/>
    <w:rsid w:val="00146C35"/>
    <w:rsid w:val="001546F7"/>
    <w:rsid w:val="00157E67"/>
    <w:rsid w:val="00164B6E"/>
    <w:rsid w:val="00183307"/>
    <w:rsid w:val="001A0BFE"/>
    <w:rsid w:val="001A0DF6"/>
    <w:rsid w:val="001A1251"/>
    <w:rsid w:val="001A61D4"/>
    <w:rsid w:val="001D213C"/>
    <w:rsid w:val="001D6EB9"/>
    <w:rsid w:val="001E31A0"/>
    <w:rsid w:val="001E48E4"/>
    <w:rsid w:val="001E56D8"/>
    <w:rsid w:val="00201D89"/>
    <w:rsid w:val="00210A12"/>
    <w:rsid w:val="0021106D"/>
    <w:rsid w:val="0023051D"/>
    <w:rsid w:val="0023263B"/>
    <w:rsid w:val="002552C0"/>
    <w:rsid w:val="002608E9"/>
    <w:rsid w:val="002622E1"/>
    <w:rsid w:val="00274861"/>
    <w:rsid w:val="00290208"/>
    <w:rsid w:val="00292959"/>
    <w:rsid w:val="002A3C55"/>
    <w:rsid w:val="002A410A"/>
    <w:rsid w:val="002A49A8"/>
    <w:rsid w:val="002B12B3"/>
    <w:rsid w:val="002C40BA"/>
    <w:rsid w:val="002C6219"/>
    <w:rsid w:val="002D4E7A"/>
    <w:rsid w:val="002F433E"/>
    <w:rsid w:val="002F4D0F"/>
    <w:rsid w:val="00306B5D"/>
    <w:rsid w:val="00315241"/>
    <w:rsid w:val="00322733"/>
    <w:rsid w:val="00324B96"/>
    <w:rsid w:val="00326F79"/>
    <w:rsid w:val="00327891"/>
    <w:rsid w:val="0033446A"/>
    <w:rsid w:val="003344C1"/>
    <w:rsid w:val="00340B64"/>
    <w:rsid w:val="003458F2"/>
    <w:rsid w:val="0036484F"/>
    <w:rsid w:val="003745BF"/>
    <w:rsid w:val="00381B38"/>
    <w:rsid w:val="00383C05"/>
    <w:rsid w:val="00387CEC"/>
    <w:rsid w:val="00397B74"/>
    <w:rsid w:val="003B0023"/>
    <w:rsid w:val="003B0385"/>
    <w:rsid w:val="003C05A4"/>
    <w:rsid w:val="003C606B"/>
    <w:rsid w:val="003D226C"/>
    <w:rsid w:val="003E206B"/>
    <w:rsid w:val="003F2DEE"/>
    <w:rsid w:val="004172E6"/>
    <w:rsid w:val="004266FB"/>
    <w:rsid w:val="00436EC4"/>
    <w:rsid w:val="0044244E"/>
    <w:rsid w:val="0044374A"/>
    <w:rsid w:val="00450330"/>
    <w:rsid w:val="00485A5C"/>
    <w:rsid w:val="004871CB"/>
    <w:rsid w:val="00492D2B"/>
    <w:rsid w:val="004A33AA"/>
    <w:rsid w:val="004B7156"/>
    <w:rsid w:val="004F1546"/>
    <w:rsid w:val="004F4C6F"/>
    <w:rsid w:val="004F6860"/>
    <w:rsid w:val="00526193"/>
    <w:rsid w:val="00534DB0"/>
    <w:rsid w:val="0053765F"/>
    <w:rsid w:val="005377B9"/>
    <w:rsid w:val="00544890"/>
    <w:rsid w:val="00564207"/>
    <w:rsid w:val="00584C42"/>
    <w:rsid w:val="005851A1"/>
    <w:rsid w:val="005858D6"/>
    <w:rsid w:val="005860FD"/>
    <w:rsid w:val="005904D4"/>
    <w:rsid w:val="00593ACE"/>
    <w:rsid w:val="005A03F5"/>
    <w:rsid w:val="005C2D93"/>
    <w:rsid w:val="005C5BAB"/>
    <w:rsid w:val="005D3DAA"/>
    <w:rsid w:val="005D7EFF"/>
    <w:rsid w:val="005E120B"/>
    <w:rsid w:val="005E6BA5"/>
    <w:rsid w:val="00613687"/>
    <w:rsid w:val="00614C98"/>
    <w:rsid w:val="006173CA"/>
    <w:rsid w:val="00632C59"/>
    <w:rsid w:val="0064406A"/>
    <w:rsid w:val="006447AF"/>
    <w:rsid w:val="00645216"/>
    <w:rsid w:val="00647F1D"/>
    <w:rsid w:val="006539FF"/>
    <w:rsid w:val="006655A3"/>
    <w:rsid w:val="00671C71"/>
    <w:rsid w:val="0067248D"/>
    <w:rsid w:val="00673023"/>
    <w:rsid w:val="00676030"/>
    <w:rsid w:val="00682EB8"/>
    <w:rsid w:val="0068605E"/>
    <w:rsid w:val="006873D4"/>
    <w:rsid w:val="0069272E"/>
    <w:rsid w:val="006A2B1A"/>
    <w:rsid w:val="006A3A28"/>
    <w:rsid w:val="006A55C2"/>
    <w:rsid w:val="006A7C2D"/>
    <w:rsid w:val="006B2277"/>
    <w:rsid w:val="006B6D58"/>
    <w:rsid w:val="006C585F"/>
    <w:rsid w:val="006D41FA"/>
    <w:rsid w:val="006E4371"/>
    <w:rsid w:val="006E6B55"/>
    <w:rsid w:val="0070137D"/>
    <w:rsid w:val="00704AAA"/>
    <w:rsid w:val="00707BF3"/>
    <w:rsid w:val="00723C6E"/>
    <w:rsid w:val="007253CD"/>
    <w:rsid w:val="00733AC3"/>
    <w:rsid w:val="007413A4"/>
    <w:rsid w:val="00743C71"/>
    <w:rsid w:val="00755113"/>
    <w:rsid w:val="0077242D"/>
    <w:rsid w:val="007802AD"/>
    <w:rsid w:val="00784B84"/>
    <w:rsid w:val="007A25D3"/>
    <w:rsid w:val="007A4F97"/>
    <w:rsid w:val="007B083D"/>
    <w:rsid w:val="007B62C6"/>
    <w:rsid w:val="007C5EEC"/>
    <w:rsid w:val="007C6889"/>
    <w:rsid w:val="007C6A38"/>
    <w:rsid w:val="007D2207"/>
    <w:rsid w:val="007D674A"/>
    <w:rsid w:val="007D7906"/>
    <w:rsid w:val="007E557B"/>
    <w:rsid w:val="007F29F7"/>
    <w:rsid w:val="007F3ECE"/>
    <w:rsid w:val="007F7C27"/>
    <w:rsid w:val="008048FB"/>
    <w:rsid w:val="008110EF"/>
    <w:rsid w:val="00815B48"/>
    <w:rsid w:val="0082071D"/>
    <w:rsid w:val="008243FB"/>
    <w:rsid w:val="00827311"/>
    <w:rsid w:val="00827488"/>
    <w:rsid w:val="00831DAB"/>
    <w:rsid w:val="0084760B"/>
    <w:rsid w:val="008570D9"/>
    <w:rsid w:val="00866B5D"/>
    <w:rsid w:val="00877126"/>
    <w:rsid w:val="0088033F"/>
    <w:rsid w:val="008808A4"/>
    <w:rsid w:val="00882CC9"/>
    <w:rsid w:val="008924D7"/>
    <w:rsid w:val="008B06B3"/>
    <w:rsid w:val="008B253D"/>
    <w:rsid w:val="008C3857"/>
    <w:rsid w:val="008C775C"/>
    <w:rsid w:val="008D5608"/>
    <w:rsid w:val="008E2111"/>
    <w:rsid w:val="008E56A3"/>
    <w:rsid w:val="00901E7F"/>
    <w:rsid w:val="00902512"/>
    <w:rsid w:val="00905342"/>
    <w:rsid w:val="009133F7"/>
    <w:rsid w:val="00914119"/>
    <w:rsid w:val="00916CAB"/>
    <w:rsid w:val="009240F8"/>
    <w:rsid w:val="00926819"/>
    <w:rsid w:val="009516E6"/>
    <w:rsid w:val="00961684"/>
    <w:rsid w:val="0096178C"/>
    <w:rsid w:val="00963820"/>
    <w:rsid w:val="00971BD9"/>
    <w:rsid w:val="0097640F"/>
    <w:rsid w:val="009900EF"/>
    <w:rsid w:val="009A6EBF"/>
    <w:rsid w:val="009B24BB"/>
    <w:rsid w:val="009C0C83"/>
    <w:rsid w:val="009D5A38"/>
    <w:rsid w:val="009D76B7"/>
    <w:rsid w:val="009E03AC"/>
    <w:rsid w:val="009E6954"/>
    <w:rsid w:val="00A016C0"/>
    <w:rsid w:val="00A22000"/>
    <w:rsid w:val="00A255A8"/>
    <w:rsid w:val="00A255B9"/>
    <w:rsid w:val="00A41929"/>
    <w:rsid w:val="00A50A82"/>
    <w:rsid w:val="00A52C26"/>
    <w:rsid w:val="00A679F1"/>
    <w:rsid w:val="00A70EF4"/>
    <w:rsid w:val="00A7604D"/>
    <w:rsid w:val="00A84752"/>
    <w:rsid w:val="00A87EEF"/>
    <w:rsid w:val="00A92F1D"/>
    <w:rsid w:val="00AA0909"/>
    <w:rsid w:val="00AC55B6"/>
    <w:rsid w:val="00AD0316"/>
    <w:rsid w:val="00AE19DF"/>
    <w:rsid w:val="00AF2F5A"/>
    <w:rsid w:val="00AF6869"/>
    <w:rsid w:val="00B03952"/>
    <w:rsid w:val="00B0555B"/>
    <w:rsid w:val="00B07F9E"/>
    <w:rsid w:val="00B232C6"/>
    <w:rsid w:val="00B26E1B"/>
    <w:rsid w:val="00B33A82"/>
    <w:rsid w:val="00B37C12"/>
    <w:rsid w:val="00B50783"/>
    <w:rsid w:val="00B51F0B"/>
    <w:rsid w:val="00B546A8"/>
    <w:rsid w:val="00B547FE"/>
    <w:rsid w:val="00B82FFB"/>
    <w:rsid w:val="00BA4EA9"/>
    <w:rsid w:val="00BB0E4C"/>
    <w:rsid w:val="00BC4448"/>
    <w:rsid w:val="00BD1B0B"/>
    <w:rsid w:val="00BD383F"/>
    <w:rsid w:val="00BD4D73"/>
    <w:rsid w:val="00BE070F"/>
    <w:rsid w:val="00BF422E"/>
    <w:rsid w:val="00BF59FB"/>
    <w:rsid w:val="00C054BA"/>
    <w:rsid w:val="00C073F3"/>
    <w:rsid w:val="00C15098"/>
    <w:rsid w:val="00C163F3"/>
    <w:rsid w:val="00C2630A"/>
    <w:rsid w:val="00C35355"/>
    <w:rsid w:val="00C46ACF"/>
    <w:rsid w:val="00C50318"/>
    <w:rsid w:val="00C60321"/>
    <w:rsid w:val="00C617F4"/>
    <w:rsid w:val="00C636D6"/>
    <w:rsid w:val="00C64840"/>
    <w:rsid w:val="00C97317"/>
    <w:rsid w:val="00CA1165"/>
    <w:rsid w:val="00CA590F"/>
    <w:rsid w:val="00CB04D8"/>
    <w:rsid w:val="00CB0950"/>
    <w:rsid w:val="00CB1EB3"/>
    <w:rsid w:val="00CB46F6"/>
    <w:rsid w:val="00CD5315"/>
    <w:rsid w:val="00CD548D"/>
    <w:rsid w:val="00CD7C68"/>
    <w:rsid w:val="00CE03BB"/>
    <w:rsid w:val="00CE413A"/>
    <w:rsid w:val="00CE5FC7"/>
    <w:rsid w:val="00CE6707"/>
    <w:rsid w:val="00CF7BD0"/>
    <w:rsid w:val="00D009A2"/>
    <w:rsid w:val="00D02FAC"/>
    <w:rsid w:val="00D22202"/>
    <w:rsid w:val="00D41B28"/>
    <w:rsid w:val="00D43BBE"/>
    <w:rsid w:val="00D45151"/>
    <w:rsid w:val="00DC510F"/>
    <w:rsid w:val="00DD2CE1"/>
    <w:rsid w:val="00DE4CCD"/>
    <w:rsid w:val="00DE5EC3"/>
    <w:rsid w:val="00DF5B74"/>
    <w:rsid w:val="00DF7520"/>
    <w:rsid w:val="00E00266"/>
    <w:rsid w:val="00E2403D"/>
    <w:rsid w:val="00E44861"/>
    <w:rsid w:val="00E46B20"/>
    <w:rsid w:val="00E53904"/>
    <w:rsid w:val="00E55F58"/>
    <w:rsid w:val="00E56BA8"/>
    <w:rsid w:val="00E619E0"/>
    <w:rsid w:val="00E8159A"/>
    <w:rsid w:val="00E936C3"/>
    <w:rsid w:val="00EA03C9"/>
    <w:rsid w:val="00EC2BD4"/>
    <w:rsid w:val="00EC391F"/>
    <w:rsid w:val="00ED2A1C"/>
    <w:rsid w:val="00EE07DB"/>
    <w:rsid w:val="00EE38B0"/>
    <w:rsid w:val="00EF2DC6"/>
    <w:rsid w:val="00EF2E41"/>
    <w:rsid w:val="00F00703"/>
    <w:rsid w:val="00F00721"/>
    <w:rsid w:val="00F009F3"/>
    <w:rsid w:val="00F04EBA"/>
    <w:rsid w:val="00F102EC"/>
    <w:rsid w:val="00F1363D"/>
    <w:rsid w:val="00F176A2"/>
    <w:rsid w:val="00F27512"/>
    <w:rsid w:val="00F340E4"/>
    <w:rsid w:val="00F37B0D"/>
    <w:rsid w:val="00F47F5F"/>
    <w:rsid w:val="00F5689A"/>
    <w:rsid w:val="00F62CCB"/>
    <w:rsid w:val="00F715AF"/>
    <w:rsid w:val="00F804FC"/>
    <w:rsid w:val="00F9044B"/>
    <w:rsid w:val="00FB3F46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2797C0"/>
  <w15:docId w15:val="{2E3FC739-6E10-49CD-B6F8-2337A94C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3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2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4D7"/>
  </w:style>
  <w:style w:type="paragraph" w:styleId="Piedepgina">
    <w:name w:val="footer"/>
    <w:basedOn w:val="Normal"/>
    <w:link w:val="PiedepginaCar"/>
    <w:uiPriority w:val="99"/>
    <w:unhideWhenUsed/>
    <w:rsid w:val="00892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D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53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531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D53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D5315"/>
  </w:style>
  <w:style w:type="table" w:styleId="Tablaconcuadrcula">
    <w:name w:val="Table Grid"/>
    <w:basedOn w:val="Tablanormal"/>
    <w:uiPriority w:val="59"/>
    <w:rsid w:val="008E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5A03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4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6173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570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397B74"/>
    <w:pPr>
      <w:ind w:left="720"/>
      <w:contextualSpacing/>
    </w:pPr>
  </w:style>
  <w:style w:type="paragraph" w:customStyle="1" w:styleId="Default">
    <w:name w:val="Default"/>
    <w:rsid w:val="007C6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Listaclara-nfasis1">
    <w:name w:val="Light List Accent 1"/>
    <w:basedOn w:val="Tablanormal"/>
    <w:uiPriority w:val="61"/>
    <w:rsid w:val="00BF59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notapie">
    <w:name w:val="footnote text"/>
    <w:basedOn w:val="Normal"/>
    <w:link w:val="TextonotapieCar"/>
    <w:semiHidden/>
    <w:rsid w:val="00F8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804F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F8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10A-21CE-3647-8F1D-36656C59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Hugo Medina Loyola</cp:lastModifiedBy>
  <cp:revision>5</cp:revision>
  <cp:lastPrinted>2019-11-20T18:49:00Z</cp:lastPrinted>
  <dcterms:created xsi:type="dcterms:W3CDTF">2019-11-20T18:43:00Z</dcterms:created>
  <dcterms:modified xsi:type="dcterms:W3CDTF">2019-11-21T20:29:00Z</dcterms:modified>
</cp:coreProperties>
</file>